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A685" w14:textId="77777777" w:rsidR="00906B6A" w:rsidRPr="00906B6A" w:rsidRDefault="00906B6A" w:rsidP="00906B6A">
      <w:r w:rsidRPr="00906B6A">
        <w:t>Valsts izglītības satura centra īstenotā Eiropas Sociālā fonda projekta “Kompetenču pieeja mācību saturā” ietvaros aktualizēti metodiskie ieteikumi attālināto mācību īstenošanai vispārējās un profesionālās izglītības iestādēs. </w:t>
      </w:r>
    </w:p>
    <w:p w14:paraId="5CC8193A" w14:textId="77777777" w:rsidR="00906B6A" w:rsidRPr="00906B6A" w:rsidRDefault="00906B6A" w:rsidP="00906B6A">
      <w:r w:rsidRPr="00906B6A">
        <w:t>Attālinātās mācības noteiktā apjomā, neatkarīgi no epidemioloģiskās situācijas, ir iespēja īstenot kā daļu no klātienes mācību procesa. To nosaka 2022. gada februārī apstiprinātie </w:t>
      </w:r>
      <w:hyperlink r:id="rId5" w:history="1">
        <w:r w:rsidRPr="00906B6A">
          <w:rPr>
            <w:rStyle w:val="Hyperlink"/>
          </w:rPr>
          <w:t>Ministru kabineta noteikumi Nr. 111 "Attālināto mācību organizēšanas un īstenošanas kārtība"</w:t>
        </w:r>
      </w:hyperlink>
      <w:r w:rsidRPr="00906B6A">
        <w:t xml:space="preserve">. Attālinātās mācīšanās elementu iekļaušana ikdienas klātienes mācībās sekmē atbildības nodošanu par mācībām pašiem izglītojamajiem, stiprina </w:t>
      </w:r>
      <w:proofErr w:type="spellStart"/>
      <w:r w:rsidRPr="00906B6A">
        <w:t>pašvadītas</w:t>
      </w:r>
      <w:proofErr w:type="spellEnd"/>
      <w:r w:rsidRPr="00906B6A">
        <w:t xml:space="preserve"> mācīšanās iemaņas, digitālo </w:t>
      </w:r>
      <w:proofErr w:type="spellStart"/>
      <w:r w:rsidRPr="00906B6A">
        <w:t>pratību</w:t>
      </w:r>
      <w:proofErr w:type="spellEnd"/>
      <w:r w:rsidRPr="00906B6A">
        <w:t xml:space="preserve">, kritisko domāšanu, kā arī </w:t>
      </w:r>
      <w:proofErr w:type="spellStart"/>
      <w:r w:rsidRPr="00906B6A">
        <w:t>problēmrisināšanas</w:t>
      </w:r>
      <w:proofErr w:type="spellEnd"/>
      <w:r w:rsidRPr="00906B6A">
        <w:t xml:space="preserve"> un sadarbības caurviju prasmes, kas definētas kā viens no </w:t>
      </w:r>
      <w:hyperlink r:id="rId6" w:tgtFrame="_blank" w:history="1">
        <w:r w:rsidRPr="00906B6A">
          <w:rPr>
            <w:rStyle w:val="Hyperlink"/>
          </w:rPr>
          <w:t>pilnveidotā mācību satura</w:t>
        </w:r>
      </w:hyperlink>
      <w:r w:rsidRPr="00906B6A">
        <w:t> jeb tā dēvētās kompetenču izglītības mērķiem.</w:t>
      </w:r>
    </w:p>
    <w:p w14:paraId="037CA8E8" w14:textId="77777777" w:rsidR="00906B6A" w:rsidRPr="00906B6A" w:rsidRDefault="00906B6A" w:rsidP="00906B6A">
      <w:r w:rsidRPr="00906B6A">
        <w:t>Plānojot attālināto mācību īstenošanu, izglītības iestāde:</w:t>
      </w:r>
    </w:p>
    <w:p w14:paraId="60686FCC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>Organizē mācību darbu, mērķtiecīgi iekļaujot attālināto mācību elementus</w:t>
      </w:r>
    </w:p>
    <w:p w14:paraId="2195C2B2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>Izvērtē dažādu attālināto mācību formu atbilstību sasniedzamajam rezultātam</w:t>
      </w:r>
    </w:p>
    <w:p w14:paraId="095AFB7D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 xml:space="preserve">Nodrošina jēgpilnu </w:t>
      </w:r>
      <w:proofErr w:type="spellStart"/>
      <w:r w:rsidRPr="00906B6A">
        <w:t>ekrānlaika</w:t>
      </w:r>
      <w:proofErr w:type="spellEnd"/>
      <w:r w:rsidRPr="00906B6A">
        <w:t xml:space="preserve"> izmantošanu    </w:t>
      </w:r>
    </w:p>
    <w:p w14:paraId="026E8F34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>Sadarbojas, veidojot pozitīvu attieksmi pret attālinātām mācībām  </w:t>
      </w:r>
    </w:p>
    <w:p w14:paraId="6678787C" w14:textId="4F6F2A5A" w:rsidR="00906B6A" w:rsidRPr="00906B6A" w:rsidRDefault="00906B6A" w:rsidP="00906B6A">
      <w:hyperlink r:id="rId7" w:tooltip="attalinato_mac_vadlinijas_22_23.pdf" w:history="1">
        <w:r w:rsidRPr="00906B6A">
          <w:rPr>
            <w:rStyle w:val="Hyperlink"/>
          </w:rPr>
          <w:t>Vadlīnijas attālinātu mācību īstenošanai</w:t>
        </w:r>
      </w:hyperlink>
      <w:r w:rsidRPr="00906B6A">
        <w:t> </w:t>
      </w:r>
    </w:p>
    <w:p w14:paraId="36B3088A" w14:textId="77777777" w:rsidR="00906B6A" w:rsidRPr="00906B6A" w:rsidRDefault="00906B6A" w:rsidP="00906B6A">
      <w:r w:rsidRPr="00906B6A">
        <w:rPr>
          <w:i/>
          <w:iCs/>
        </w:rPr>
        <w:t>Metodisko ieteikumu izstrādi Projektā vadīja Zane Oliņa.</w:t>
      </w:r>
    </w:p>
    <w:p w14:paraId="0D5B584C" w14:textId="77777777" w:rsidR="00906B6A" w:rsidRPr="00906B6A" w:rsidRDefault="00906B6A" w:rsidP="00906B6A">
      <w:r w:rsidRPr="00906B6A">
        <w:rPr>
          <w:i/>
          <w:iCs/>
        </w:rPr>
        <w:t>Metodisko ieteikumu aktualizāciju attālināto mācību procesa organizēšanai vadīja Liene Zeile.</w:t>
      </w:r>
    </w:p>
    <w:p w14:paraId="04571E00" w14:textId="77777777" w:rsidR="00906B6A" w:rsidRPr="00906B6A" w:rsidRDefault="00906B6A" w:rsidP="00906B6A">
      <w:r w:rsidRPr="00906B6A">
        <w:rPr>
          <w:i/>
          <w:iCs/>
        </w:rPr>
        <w:t xml:space="preserve">Metodiskos ieteikumus izstrādāja: Austra Avotiņa, Mihails </w:t>
      </w:r>
      <w:proofErr w:type="spellStart"/>
      <w:r w:rsidRPr="00906B6A">
        <w:rPr>
          <w:i/>
          <w:iCs/>
        </w:rPr>
        <w:t>Basmanovs</w:t>
      </w:r>
      <w:proofErr w:type="spellEnd"/>
      <w:r w:rsidRPr="00906B6A">
        <w:rPr>
          <w:i/>
          <w:iCs/>
        </w:rPr>
        <w:t xml:space="preserve">, Inese Bautre, Zane </w:t>
      </w:r>
      <w:proofErr w:type="spellStart"/>
      <w:r w:rsidRPr="00906B6A">
        <w:rPr>
          <w:i/>
          <w:iCs/>
        </w:rPr>
        <w:t>Bēķe</w:t>
      </w:r>
      <w:proofErr w:type="spellEnd"/>
      <w:r w:rsidRPr="00906B6A">
        <w:rPr>
          <w:i/>
          <w:iCs/>
        </w:rPr>
        <w:t xml:space="preserve">, Madara </w:t>
      </w:r>
      <w:proofErr w:type="spellStart"/>
      <w:r w:rsidRPr="00906B6A">
        <w:rPr>
          <w:i/>
          <w:iCs/>
        </w:rPr>
        <w:t>Kosolapova</w:t>
      </w:r>
      <w:proofErr w:type="spellEnd"/>
      <w:r w:rsidRPr="00906B6A">
        <w:rPr>
          <w:i/>
          <w:iCs/>
        </w:rPr>
        <w:t xml:space="preserve">, Inga </w:t>
      </w:r>
      <w:proofErr w:type="spellStart"/>
      <w:r w:rsidRPr="00906B6A">
        <w:rPr>
          <w:i/>
          <w:iCs/>
        </w:rPr>
        <w:t>Krišāne</w:t>
      </w:r>
      <w:proofErr w:type="spellEnd"/>
      <w:r w:rsidRPr="00906B6A">
        <w:rPr>
          <w:i/>
          <w:iCs/>
        </w:rPr>
        <w:t xml:space="preserve">, Rita Kursīte, Inese </w:t>
      </w:r>
      <w:proofErr w:type="spellStart"/>
      <w:r w:rsidRPr="00906B6A">
        <w:rPr>
          <w:i/>
          <w:iCs/>
        </w:rPr>
        <w:t>Lāčauniece</w:t>
      </w:r>
      <w:proofErr w:type="spellEnd"/>
      <w:r w:rsidRPr="00906B6A">
        <w:rPr>
          <w:i/>
          <w:iCs/>
        </w:rPr>
        <w:t xml:space="preserve">, Irēna Nelsone, Ansis </w:t>
      </w:r>
      <w:proofErr w:type="spellStart"/>
      <w:r w:rsidRPr="00906B6A">
        <w:rPr>
          <w:i/>
          <w:iCs/>
        </w:rPr>
        <w:t>Nudiens</w:t>
      </w:r>
      <w:proofErr w:type="spellEnd"/>
      <w:r w:rsidRPr="00906B6A">
        <w:rPr>
          <w:i/>
          <w:iCs/>
        </w:rPr>
        <w:t xml:space="preserve">, Pāvels </w:t>
      </w:r>
      <w:proofErr w:type="spellStart"/>
      <w:r w:rsidRPr="00906B6A">
        <w:rPr>
          <w:i/>
          <w:iCs/>
        </w:rPr>
        <w:t>Pestovs</w:t>
      </w:r>
      <w:proofErr w:type="spellEnd"/>
      <w:r w:rsidRPr="00906B6A">
        <w:rPr>
          <w:i/>
          <w:iCs/>
        </w:rPr>
        <w:t xml:space="preserve">, Arvils </w:t>
      </w:r>
      <w:proofErr w:type="spellStart"/>
      <w:r w:rsidRPr="00906B6A">
        <w:rPr>
          <w:i/>
          <w:iCs/>
        </w:rPr>
        <w:t>Šalme</w:t>
      </w:r>
      <w:proofErr w:type="spellEnd"/>
      <w:r w:rsidRPr="00906B6A">
        <w:rPr>
          <w:i/>
          <w:iCs/>
        </w:rPr>
        <w:t xml:space="preserve">, Dina </w:t>
      </w:r>
      <w:proofErr w:type="spellStart"/>
      <w:r w:rsidRPr="00906B6A">
        <w:rPr>
          <w:i/>
          <w:iCs/>
        </w:rPr>
        <w:t>Šavlovska</w:t>
      </w:r>
      <w:proofErr w:type="spellEnd"/>
      <w:r w:rsidRPr="00906B6A">
        <w:rPr>
          <w:i/>
          <w:iCs/>
        </w:rPr>
        <w:t>, Lita Vēvere un Jānis Vilciņš.</w:t>
      </w:r>
    </w:p>
    <w:p w14:paraId="1D2696EE" w14:textId="77777777" w:rsidR="00906B6A" w:rsidRPr="00906B6A" w:rsidRDefault="00906B6A" w:rsidP="00906B6A">
      <w:pPr>
        <w:rPr>
          <w:rStyle w:val="Hyperlink"/>
        </w:rPr>
      </w:pPr>
      <w:r w:rsidRPr="00906B6A">
        <w:fldChar w:fldCharType="begin"/>
      </w:r>
      <w:r w:rsidRPr="00906B6A">
        <w:instrText>HYPERLINK "https://www.visc.gov.lv/sites/visc/files/content/esf_831/europe-fonds.png"</w:instrText>
      </w:r>
      <w:r w:rsidRPr="00906B6A">
        <w:fldChar w:fldCharType="separate"/>
      </w:r>
    </w:p>
    <w:p w14:paraId="6C78F363" w14:textId="2F60A60D" w:rsidR="00906B6A" w:rsidRPr="00906B6A" w:rsidRDefault="00906B6A" w:rsidP="00906B6A">
      <w:pPr>
        <w:rPr>
          <w:rStyle w:val="Hyperlink"/>
        </w:rPr>
      </w:pPr>
      <w:r w:rsidRPr="00906B6A">
        <w:rPr>
          <w:rStyle w:val="Hyperlink"/>
        </w:rPr>
        <w:drawing>
          <wp:inline distT="0" distB="0" distL="0" distR="0" wp14:anchorId="3895448D" wp14:editId="394F3994">
            <wp:extent cx="3810000" cy="1022350"/>
            <wp:effectExtent l="0" t="0" r="0" b="6350"/>
            <wp:docPr id="1560773348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A142" w14:textId="6764052D" w:rsidR="005F7396" w:rsidRDefault="00906B6A">
      <w:r w:rsidRPr="00906B6A">
        <w:fldChar w:fldCharType="end"/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35DF7"/>
    <w:multiLevelType w:val="multilevel"/>
    <w:tmpl w:val="24C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6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6A"/>
    <w:rsid w:val="005F7396"/>
    <w:rsid w:val="00896505"/>
    <w:rsid w:val="00906B6A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57F7"/>
  <w15:chartTrackingRefBased/>
  <w15:docId w15:val="{5B6B941E-7C2D-4006-A9C2-A619218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B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B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c.gov.lv/sites/visc/files/content/esf_831/europe-fonds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a.gov.lv/sites/viaa/files/media_file/attalinato_mac_vadlinijas_22_23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vportals.lv/skaidrojumi/319373-stajas-speka-pilnveidotie-izglitibas-standarti-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329849-attalinato-macibu-organizesanas-un-istenosanas-karti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764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2025-04-28T09:54:00Z</dcterms:created>
  <dcterms:modified xsi:type="dcterms:W3CDTF">2025-04-28T09:55:00Z</dcterms:modified>
</cp:coreProperties>
</file>