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206" w:type="dxa"/>
        <w:tblInd w:w="5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tblGrid>
      <w:tr w:rsidR="001E3E02" w:rsidTr="00E022C3">
        <w:trPr>
          <w:trHeight w:val="1198"/>
        </w:trPr>
        <w:tc>
          <w:tcPr>
            <w:tcW w:w="4206" w:type="dxa"/>
            <w:hideMark/>
          </w:tcPr>
          <w:p w:rsidR="001E3E02" w:rsidRDefault="001E3E02" w:rsidP="00E022C3">
            <w:pPr>
              <w:widowControl w:val="0"/>
              <w:spacing w:line="240" w:lineRule="auto"/>
              <w:ind w:right="-114"/>
              <w:rPr>
                <w:rFonts w:ascii="Times New Roman" w:eastAsia="Calibri" w:hAnsi="Times New Roman" w:cs="Times New Roman"/>
                <w:b/>
                <w:sz w:val="24"/>
                <w:szCs w:val="24"/>
              </w:rPr>
            </w:pPr>
            <w:r>
              <w:rPr>
                <w:rFonts w:ascii="Times New Roman" w:hAnsi="Times New Roman" w:cs="Times New Roman"/>
                <w:i/>
                <w:iCs/>
                <w:sz w:val="24"/>
                <w:szCs w:val="24"/>
              </w:rPr>
              <w:t xml:space="preserve">Apstiprināts ar Valsts izglītības attīstības aģentūras 2020.gada 20. janvāra rīkojumu Nr.1.-30.2/7 </w:t>
            </w:r>
          </w:p>
        </w:tc>
      </w:tr>
    </w:tbl>
    <w:p w:rsidR="001E3E02" w:rsidRDefault="001E3E02" w:rsidP="001E3E02">
      <w:pPr>
        <w:widowControl w:val="0"/>
        <w:spacing w:after="0" w:line="240" w:lineRule="auto"/>
        <w:ind w:right="708"/>
        <w:rPr>
          <w:rFonts w:ascii="Times New Roman" w:eastAsia="Calibri" w:hAnsi="Times New Roman" w:cs="Times New Roman"/>
          <w:b/>
          <w:sz w:val="24"/>
          <w:szCs w:val="24"/>
        </w:rPr>
      </w:pPr>
    </w:p>
    <w:p w:rsidR="001E3E02" w:rsidRDefault="001E3E02" w:rsidP="001E3E02">
      <w:pPr>
        <w:widowControl w:val="0"/>
        <w:spacing w:after="0" w:line="240" w:lineRule="auto"/>
        <w:ind w:right="708"/>
        <w:jc w:val="center"/>
        <w:rPr>
          <w:rFonts w:ascii="Times New Roman" w:eastAsia="Calibri" w:hAnsi="Times New Roman" w:cs="Times New Roman"/>
          <w:b/>
          <w:sz w:val="24"/>
          <w:szCs w:val="24"/>
        </w:rPr>
      </w:pPr>
      <w:r>
        <w:rPr>
          <w:rFonts w:ascii="Times New Roman" w:eastAsia="Calibri" w:hAnsi="Times New Roman" w:cs="Times New Roman"/>
          <w:b/>
          <w:sz w:val="24"/>
          <w:szCs w:val="24"/>
        </w:rPr>
        <w:t>NOLIKUMS</w:t>
      </w:r>
    </w:p>
    <w:p w:rsidR="001E3E02" w:rsidRDefault="001E3E02" w:rsidP="001E3E02">
      <w:pPr>
        <w:widowControl w:val="0"/>
        <w:spacing w:after="0" w:line="240" w:lineRule="auto"/>
        <w:ind w:right="708"/>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Latvijas dalībnieku atlasei  Eiropas Ekonomikas zonas un Norvēģijas finanšu instrumenta 2014.-2021.gada plānošanas perioda programmas “Pētniecība un izglītība” </w:t>
      </w:r>
      <w:r>
        <w:rPr>
          <w:rFonts w:ascii="Times New Roman" w:hAnsi="Times New Roman" w:cs="Times New Roman"/>
          <w:b/>
          <w:bCs/>
          <w:sz w:val="24"/>
          <w:szCs w:val="24"/>
        </w:rPr>
        <w:t xml:space="preserve">Baltijas pētniecības programmas sadarbības projektu konkursa atklāšanas un tīklošanās pasākumam </w:t>
      </w:r>
      <w:r>
        <w:rPr>
          <w:rFonts w:ascii="Times New Roman" w:eastAsia="Calibri" w:hAnsi="Times New Roman" w:cs="Times New Roman"/>
          <w:b/>
          <w:sz w:val="24"/>
          <w:szCs w:val="24"/>
        </w:rPr>
        <w:t xml:space="preserve">2020.gada 5.februārī Viļņā, Lietuvā </w:t>
      </w:r>
    </w:p>
    <w:p w:rsidR="001E3E02" w:rsidRDefault="001E3E02" w:rsidP="001E3E02">
      <w:pPr>
        <w:widowControl w:val="0"/>
        <w:spacing w:after="0" w:line="240" w:lineRule="auto"/>
        <w:ind w:right="708"/>
        <w:jc w:val="center"/>
        <w:rPr>
          <w:rFonts w:ascii="Times New Roman" w:eastAsia="Calibri" w:hAnsi="Times New Roman" w:cs="Times New Roman"/>
          <w:sz w:val="24"/>
          <w:szCs w:val="24"/>
        </w:rPr>
      </w:pPr>
    </w:p>
    <w:p w:rsidR="001E3E02" w:rsidRDefault="001E3E02" w:rsidP="001E3E02">
      <w:pPr>
        <w:widowControl w:val="0"/>
        <w:spacing w:after="0" w:line="240" w:lineRule="auto"/>
        <w:ind w:right="708"/>
        <w:jc w:val="center"/>
        <w:rPr>
          <w:rFonts w:ascii="Times New Roman" w:eastAsia="Calibri" w:hAnsi="Times New Roman" w:cs="Times New Roman"/>
          <w:sz w:val="24"/>
          <w:szCs w:val="24"/>
        </w:rPr>
      </w:pPr>
    </w:p>
    <w:p w:rsidR="001E3E02" w:rsidRDefault="001E3E02" w:rsidP="001E3E02">
      <w:pPr>
        <w:widowControl w:val="0"/>
        <w:numPr>
          <w:ilvl w:val="0"/>
          <w:numId w:val="1"/>
        </w:numPr>
        <w:spacing w:after="0" w:line="240" w:lineRule="auto"/>
        <w:ind w:left="0" w:right="84"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Nolikums nosaka, kā Valsts izglītības attīstības  aģentūra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turpmāk – aģentūra):</w:t>
      </w:r>
    </w:p>
    <w:p w:rsidR="001E3E02" w:rsidRDefault="001E3E02" w:rsidP="001E3E02">
      <w:pPr>
        <w:widowControl w:val="0"/>
        <w:spacing w:after="0" w:line="240" w:lineRule="auto"/>
        <w:ind w:left="426" w:right="84"/>
        <w:contextualSpacing/>
        <w:jc w:val="both"/>
        <w:rPr>
          <w:rFonts w:ascii="Times New Roman" w:eastAsia="Calibri" w:hAnsi="Times New Roman" w:cs="Times New Roman"/>
          <w:sz w:val="24"/>
          <w:szCs w:val="24"/>
        </w:rPr>
      </w:pPr>
    </w:p>
    <w:p w:rsidR="001E3E02" w:rsidRDefault="001E3E02" w:rsidP="001E3E02">
      <w:pPr>
        <w:pStyle w:val="ListParagraph"/>
        <w:widowControl w:val="0"/>
        <w:numPr>
          <w:ilvl w:val="1"/>
          <w:numId w:val="2"/>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0C24B1">
        <w:rPr>
          <w:rFonts w:ascii="Times New Roman" w:eastAsia="Calibri" w:hAnsi="Times New Roman" w:cs="Times New Roman"/>
          <w:sz w:val="24"/>
          <w:szCs w:val="24"/>
        </w:rPr>
        <w:t xml:space="preserve">organizē atklātu Latvijas dalībnieku - doktorantu, zinātniskā grāda pretendentu, zinātnieku, Eiropas Ekonomikas zonas un Norvēģijas finanšu instrumenta 2014.-2021.gada plānošanas perioda programmas “Pētniecība un izglītība” </w:t>
      </w:r>
      <w:r w:rsidRPr="000C24B1">
        <w:rPr>
          <w:rFonts w:ascii="Times New Roman" w:hAnsi="Times New Roman" w:cs="Times New Roman"/>
          <w:bCs/>
          <w:sz w:val="24"/>
          <w:szCs w:val="24"/>
        </w:rPr>
        <w:t xml:space="preserve">Baltijas pētniecības programmas </w:t>
      </w:r>
      <w:r w:rsidRPr="000C24B1">
        <w:rPr>
          <w:rFonts w:ascii="Times New Roman" w:hAnsi="Times New Roman" w:cs="Times New Roman"/>
          <w:bCs/>
          <w:i/>
          <w:sz w:val="24"/>
          <w:szCs w:val="24"/>
        </w:rPr>
        <w:t>(</w:t>
      </w:r>
      <w:proofErr w:type="spellStart"/>
      <w:r w:rsidRPr="000C24B1">
        <w:rPr>
          <w:rFonts w:ascii="Times New Roman" w:hAnsi="Times New Roman" w:cs="Times New Roman"/>
          <w:bCs/>
          <w:i/>
          <w:sz w:val="24"/>
          <w:szCs w:val="24"/>
        </w:rPr>
        <w:t>European</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Economic</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Area</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Financial</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Mechanism</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and</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Norway</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Financial</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Mechanism</w:t>
      </w:r>
      <w:proofErr w:type="spellEnd"/>
      <w:r w:rsidRPr="000C24B1">
        <w:rPr>
          <w:rFonts w:ascii="Times New Roman" w:hAnsi="Times New Roman" w:cs="Times New Roman"/>
          <w:bCs/>
          <w:i/>
          <w:sz w:val="24"/>
          <w:szCs w:val="24"/>
        </w:rPr>
        <w:t xml:space="preserve"> 2014</w:t>
      </w:r>
      <w:r w:rsidRPr="000C24B1">
        <w:rPr>
          <w:rFonts w:ascii="Times New Roman" w:eastAsia="Calibri" w:hAnsi="Times New Roman" w:cs="Times New Roman"/>
          <w:i/>
          <w:sz w:val="24"/>
          <w:szCs w:val="24"/>
        </w:rPr>
        <w:t>–</w:t>
      </w:r>
      <w:r w:rsidRPr="000C24B1">
        <w:rPr>
          <w:rFonts w:ascii="Times New Roman" w:hAnsi="Times New Roman" w:cs="Times New Roman"/>
          <w:bCs/>
          <w:i/>
          <w:sz w:val="24"/>
          <w:szCs w:val="24"/>
        </w:rPr>
        <w:t xml:space="preserve">2021 </w:t>
      </w:r>
      <w:proofErr w:type="spellStart"/>
      <w:r w:rsidRPr="000C24B1">
        <w:rPr>
          <w:rFonts w:ascii="Times New Roman" w:hAnsi="Times New Roman" w:cs="Times New Roman"/>
          <w:bCs/>
          <w:i/>
          <w:sz w:val="24"/>
          <w:szCs w:val="24"/>
        </w:rPr>
        <w:t>programme</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Research</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and</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Education</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Baltic</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Research</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Cooperation</w:t>
      </w:r>
      <w:proofErr w:type="spellEnd"/>
      <w:r w:rsidRPr="000C24B1">
        <w:rPr>
          <w:rFonts w:ascii="Times New Roman" w:hAnsi="Times New Roman" w:cs="Times New Roman"/>
          <w:bCs/>
          <w:i/>
          <w:sz w:val="24"/>
          <w:szCs w:val="24"/>
        </w:rPr>
        <w:t xml:space="preserve"> </w:t>
      </w:r>
      <w:proofErr w:type="spellStart"/>
      <w:r w:rsidRPr="000C24B1">
        <w:rPr>
          <w:rFonts w:ascii="Times New Roman" w:hAnsi="Times New Roman" w:cs="Times New Roman"/>
          <w:bCs/>
          <w:i/>
          <w:sz w:val="24"/>
          <w:szCs w:val="24"/>
        </w:rPr>
        <w:t>programme</w:t>
      </w:r>
      <w:proofErr w:type="spellEnd"/>
      <w:r w:rsidRPr="000C24B1">
        <w:rPr>
          <w:rFonts w:ascii="Times New Roman" w:hAnsi="Times New Roman" w:cs="Times New Roman"/>
          <w:bCs/>
          <w:i/>
          <w:sz w:val="24"/>
          <w:szCs w:val="24"/>
        </w:rPr>
        <w:t>)</w:t>
      </w:r>
      <w:r w:rsidRPr="000C24B1">
        <w:rPr>
          <w:rFonts w:ascii="Times New Roman" w:hAnsi="Times New Roman" w:cs="Times New Roman"/>
          <w:bCs/>
          <w:sz w:val="24"/>
          <w:szCs w:val="24"/>
        </w:rPr>
        <w:t xml:space="preserve"> (turpmāk – Baltijas programma) sadarbības </w:t>
      </w:r>
      <w:r w:rsidRPr="000C24B1">
        <w:rPr>
          <w:rFonts w:ascii="Times New Roman" w:eastAsia="Calibri" w:hAnsi="Times New Roman" w:cs="Times New Roman"/>
          <w:sz w:val="24"/>
          <w:szCs w:val="24"/>
        </w:rPr>
        <w:t>projektu (turpmāk – projektu) administratīvā personāla (turpmāk – dalībnieku) atlasi (turpmāk – atlase) dalībai</w:t>
      </w:r>
      <w:r w:rsidRPr="000C24B1">
        <w:rPr>
          <w:rFonts w:ascii="Times New Roman" w:eastAsia="Calibri" w:hAnsi="Times New Roman" w:cs="Times New Roman"/>
          <w:b/>
          <w:sz w:val="24"/>
          <w:szCs w:val="24"/>
        </w:rPr>
        <w:t xml:space="preserve"> </w:t>
      </w:r>
      <w:r w:rsidRPr="000C24B1">
        <w:rPr>
          <w:rFonts w:ascii="Times New Roman" w:eastAsia="Calibri" w:hAnsi="Times New Roman" w:cs="Times New Roman"/>
          <w:sz w:val="24"/>
          <w:szCs w:val="24"/>
        </w:rPr>
        <w:t>Baltijas programmas tīklošanās pasākumā 2020.gada 5.februārī Viļņā, Lietuvā (turpmāk – pasākums). Aģentūra pēc pasākuma norises beigām</w:t>
      </w:r>
      <w:r>
        <w:rPr>
          <w:rFonts w:ascii="Times New Roman" w:eastAsia="Calibri" w:hAnsi="Times New Roman" w:cs="Times New Roman"/>
          <w:sz w:val="24"/>
          <w:szCs w:val="24"/>
        </w:rPr>
        <w:t xml:space="preserve"> </w:t>
      </w:r>
      <w:r w:rsidRPr="000C24B1">
        <w:rPr>
          <w:rFonts w:ascii="Times New Roman" w:eastAsia="Calibri" w:hAnsi="Times New Roman" w:cs="Times New Roman"/>
          <w:sz w:val="24"/>
          <w:szCs w:val="24"/>
        </w:rPr>
        <w:t xml:space="preserve">kompensē dalībniekam ceļa (transporta) un viesnīcas izdevumus, kā arī izdevumus, kas saistīti ar ceļojuma apdrošināšanas polises iegādi un </w:t>
      </w:r>
      <w:r w:rsidRPr="000C24B1">
        <w:rPr>
          <w:rFonts w:ascii="Times New Roman" w:hAnsi="Times New Roman" w:cs="Times New Roman"/>
          <w:sz w:val="24"/>
          <w:szCs w:val="24"/>
        </w:rPr>
        <w:t xml:space="preserve">vietējā sabiedriskā transporta izdevumiem Viļņā (no autoostas vai lidostas uz pasākuma norises vietu un atpakaļ) un ceļa izdevumiem Latvijā </w:t>
      </w:r>
      <w:r w:rsidRPr="000C24B1">
        <w:rPr>
          <w:rFonts w:ascii="Times New Roman" w:eastAsia="Calibri" w:hAnsi="Times New Roman" w:cs="Times New Roman"/>
          <w:sz w:val="24"/>
          <w:szCs w:val="24"/>
        </w:rPr>
        <w:t xml:space="preserve"> (turpmāk – izdevumi), pamatojoties uz Ministru kabineta 2010.gada 12.oktobra noteikumiem Nr.969 “Kārtība, kādā atlīdzināmi ar komandējumu saistītie izdevumi” (turpmāk – MK noteikumi). </w:t>
      </w:r>
    </w:p>
    <w:p w:rsidR="001E3E02" w:rsidRPr="000C24B1" w:rsidRDefault="001E3E02" w:rsidP="001E3E02">
      <w:pPr>
        <w:pStyle w:val="ListParagraph"/>
        <w:widowControl w:val="0"/>
        <w:tabs>
          <w:tab w:val="left" w:pos="851"/>
          <w:tab w:val="left" w:pos="1134"/>
        </w:tabs>
        <w:spacing w:after="0" w:line="240" w:lineRule="auto"/>
        <w:ind w:left="709"/>
        <w:jc w:val="both"/>
        <w:rPr>
          <w:rFonts w:ascii="Times New Roman" w:eastAsia="Calibri" w:hAnsi="Times New Roman" w:cs="Times New Roman"/>
          <w:sz w:val="24"/>
          <w:szCs w:val="24"/>
        </w:rPr>
      </w:pPr>
    </w:p>
    <w:p w:rsidR="001E3E02" w:rsidRDefault="001E3E02" w:rsidP="001E3E02">
      <w:pPr>
        <w:pStyle w:val="ListParagraph"/>
        <w:widowControl w:val="0"/>
        <w:numPr>
          <w:ilvl w:val="0"/>
          <w:numId w:val="1"/>
        </w:numPr>
        <w:tabs>
          <w:tab w:val="left" w:pos="851"/>
          <w:tab w:val="left" w:pos="1134"/>
        </w:tabs>
        <w:spacing w:after="0" w:line="240" w:lineRule="auto"/>
        <w:ind w:left="0" w:right="-1"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Aģentūra reģistrē dalībnieku pieteikumus dalībai pasākumā (turpmāk – pieteikums), kas atbilst šā nolikuma 4.punktā noteiktajām prasībām, rindas kārtībā atkarībā no to saņemšanas datuma un laika šā nolikuma 5.punktā noteiktajā elektroniskajā pasta adresē. Ievērojot piešķirto publisko finansējumu dalībnieku dalības nodrošināšanai pasākumā, aģentūra ar dalībnieku slēdz līgumus par izdevumu atmaksu (turpmāk – līgums) un kompensē izdevumus rindas kārtībā pirmajiem reģistrētajiem 60 dalībniekiem no doktorantu, zinātniskā grāda pretendentu, zinātnieku vidus un rindas kārtībā reģistrētajiem pirmajiem 10 dalībniekiem no projektu administratīvā personāla vidus. Kopējais maksimālais dalībnieku skaits, kuriem aģentūra kompensē izdevumus, ir 70 dalībnieki. </w:t>
      </w:r>
    </w:p>
    <w:p w:rsidR="001E3E02" w:rsidRDefault="001E3E02" w:rsidP="001E3E02">
      <w:pPr>
        <w:pStyle w:val="ListParagraph"/>
        <w:widowControl w:val="0"/>
        <w:tabs>
          <w:tab w:val="left" w:pos="851"/>
          <w:tab w:val="left" w:pos="1134"/>
        </w:tabs>
        <w:spacing w:after="0" w:line="240" w:lineRule="auto"/>
        <w:ind w:left="0" w:right="-1" w:firstLine="709"/>
        <w:jc w:val="both"/>
        <w:rPr>
          <w:rFonts w:ascii="Times New Roman" w:eastAsia="Calibri" w:hAnsi="Times New Roman" w:cs="Times New Roman"/>
          <w:sz w:val="24"/>
          <w:szCs w:val="24"/>
        </w:rPr>
      </w:pPr>
    </w:p>
    <w:p w:rsidR="001E3E02" w:rsidRDefault="001E3E02" w:rsidP="001E3E02">
      <w:pPr>
        <w:pStyle w:val="ListParagraph"/>
        <w:widowControl w:val="0"/>
        <w:numPr>
          <w:ilvl w:val="0"/>
          <w:numId w:val="1"/>
        </w:numPr>
        <w:tabs>
          <w:tab w:val="left" w:pos="851"/>
          <w:tab w:val="left" w:pos="1134"/>
        </w:tabs>
        <w:spacing w:after="0" w:line="240" w:lineRule="auto"/>
        <w:ind w:left="0" w:right="-1"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Maksimālā kopējā summa, ko aģentūra kompensē vienam dalībniekam, ir 200 </w:t>
      </w:r>
      <w:proofErr w:type="spellStart"/>
      <w:r>
        <w:rPr>
          <w:rFonts w:ascii="Times New Roman" w:eastAsia="Calibri" w:hAnsi="Times New Roman" w:cs="Times New Roman"/>
          <w:i/>
          <w:sz w:val="24"/>
          <w:szCs w:val="24"/>
        </w:rPr>
        <w:t>euro</w:t>
      </w:r>
      <w:proofErr w:type="spellEnd"/>
      <w:r>
        <w:rPr>
          <w:rFonts w:ascii="Times New Roman" w:eastAsia="Calibri" w:hAnsi="Times New Roman" w:cs="Times New Roman"/>
          <w:sz w:val="24"/>
          <w:szCs w:val="24"/>
        </w:rPr>
        <w:t xml:space="preserve"> (divi simti </w:t>
      </w:r>
      <w:proofErr w:type="spellStart"/>
      <w:r>
        <w:rPr>
          <w:rFonts w:ascii="Times New Roman" w:eastAsia="Calibri" w:hAnsi="Times New Roman" w:cs="Times New Roman"/>
          <w:i/>
          <w:sz w:val="24"/>
          <w:szCs w:val="24"/>
        </w:rPr>
        <w:t>euro</w:t>
      </w:r>
      <w:proofErr w:type="spellEnd"/>
      <w:r>
        <w:rPr>
          <w:rFonts w:ascii="Times New Roman" w:eastAsia="Calibri" w:hAnsi="Times New Roman" w:cs="Times New Roman"/>
          <w:sz w:val="24"/>
          <w:szCs w:val="24"/>
        </w:rPr>
        <w:t xml:space="preserve"> 00 centi) (turpmāk – kompensācija). Kompensāciju aģentūra izmaksā, ievērojot MK noteikumus, šo nolikumu un līgumu, kas noslēgts līdz 2020.gada 3.februārim. </w:t>
      </w:r>
    </w:p>
    <w:p w:rsidR="001E3E02" w:rsidRDefault="001E3E02" w:rsidP="001E3E02">
      <w:pPr>
        <w:pStyle w:val="ListParagraph"/>
        <w:rPr>
          <w:rFonts w:ascii="Times New Roman" w:eastAsia="Calibri" w:hAnsi="Times New Roman" w:cs="Times New Roman"/>
          <w:sz w:val="24"/>
          <w:szCs w:val="24"/>
        </w:rPr>
      </w:pPr>
    </w:p>
    <w:p w:rsidR="001E3E02" w:rsidRDefault="001E3E02" w:rsidP="001E3E02">
      <w:pPr>
        <w:pStyle w:val="ListParagraph"/>
        <w:widowControl w:val="0"/>
        <w:numPr>
          <w:ilvl w:val="0"/>
          <w:numId w:val="1"/>
        </w:numPr>
        <w:tabs>
          <w:tab w:val="left" w:pos="851"/>
          <w:tab w:val="left" w:pos="1134"/>
        </w:tabs>
        <w:spacing w:after="0" w:line="240" w:lineRule="auto"/>
        <w:ind w:left="0" w:right="-1"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Prasības dalībniekam:</w:t>
      </w:r>
    </w:p>
    <w:p w:rsidR="001E3E02" w:rsidRDefault="001E3E02" w:rsidP="001E3E02">
      <w:pPr>
        <w:pStyle w:val="ListParagraph"/>
        <w:numPr>
          <w:ilvl w:val="1"/>
          <w:numId w:val="3"/>
        </w:numPr>
        <w:tabs>
          <w:tab w:val="left" w:pos="851"/>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pārstāvētajai zinātniskajai institūcijai (turpmāk – zinātniskā institūcija) ir jābūt reģistrētai Latvijas zinātnisko institūciju reģistrā;</w:t>
      </w:r>
    </w:p>
    <w:p w:rsidR="001E3E02" w:rsidRDefault="001E3E02" w:rsidP="001E3E02">
      <w:pPr>
        <w:pStyle w:val="ListParagraph"/>
        <w:numPr>
          <w:ilvl w:val="1"/>
          <w:numId w:val="3"/>
        </w:numPr>
        <w:tabs>
          <w:tab w:val="left" w:pos="851"/>
          <w:tab w:val="left" w:pos="1134"/>
        </w:tabs>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bCs/>
          <w:sz w:val="24"/>
          <w:szCs w:val="24"/>
        </w:rPr>
        <w:t xml:space="preserve">aizpildīta </w:t>
      </w:r>
      <w:r>
        <w:rPr>
          <w:rFonts w:ascii="Times New Roman" w:eastAsia="Calibri" w:hAnsi="Times New Roman" w:cs="Times New Roman"/>
          <w:sz w:val="24"/>
          <w:szCs w:val="24"/>
        </w:rPr>
        <w:t xml:space="preserve">pieteikuma veidlapa (pielikums) (turpmāk – pieteikums), kuru ir parakstījis dalībnieks un </w:t>
      </w:r>
      <w:r>
        <w:rPr>
          <w:rFonts w:ascii="Times New Roman" w:hAnsi="Times New Roman" w:cs="Times New Roman"/>
          <w:bCs/>
          <w:sz w:val="24"/>
          <w:szCs w:val="24"/>
        </w:rPr>
        <w:t xml:space="preserve">saskaņojusi </w:t>
      </w:r>
      <w:r>
        <w:rPr>
          <w:rFonts w:ascii="Times New Roman" w:eastAsia="Calibri" w:hAnsi="Times New Roman" w:cs="Times New Roman"/>
          <w:sz w:val="24"/>
          <w:szCs w:val="24"/>
        </w:rPr>
        <w:t xml:space="preserve">zinātniskās institūcijas </w:t>
      </w:r>
      <w:proofErr w:type="spellStart"/>
      <w:r>
        <w:rPr>
          <w:rFonts w:ascii="Times New Roman" w:eastAsia="Calibri" w:hAnsi="Times New Roman" w:cs="Times New Roman"/>
          <w:sz w:val="24"/>
          <w:szCs w:val="24"/>
        </w:rPr>
        <w:t>paraksttiesīgā</w:t>
      </w:r>
      <w:proofErr w:type="spellEnd"/>
      <w:r>
        <w:rPr>
          <w:rFonts w:ascii="Times New Roman" w:eastAsia="Calibri" w:hAnsi="Times New Roman" w:cs="Times New Roman"/>
          <w:sz w:val="24"/>
          <w:szCs w:val="24"/>
        </w:rPr>
        <w:t xml:space="preserve"> persona;</w:t>
      </w:r>
    </w:p>
    <w:p w:rsidR="001E3E02" w:rsidRDefault="001E3E02" w:rsidP="001E3E02">
      <w:pPr>
        <w:pStyle w:val="ListParagraph"/>
        <w:tabs>
          <w:tab w:val="left" w:pos="851"/>
          <w:tab w:val="left" w:pos="1134"/>
        </w:tabs>
        <w:spacing w:after="0" w:line="240" w:lineRule="auto"/>
        <w:ind w:left="709"/>
        <w:jc w:val="both"/>
        <w:rPr>
          <w:rFonts w:ascii="Times New Roman" w:eastAsia="Calibri" w:hAnsi="Times New Roman" w:cs="Times New Roman"/>
          <w:sz w:val="24"/>
          <w:szCs w:val="24"/>
        </w:rPr>
      </w:pPr>
    </w:p>
    <w:p w:rsidR="001E3E02" w:rsidRDefault="001E3E02" w:rsidP="001E3E02">
      <w:pPr>
        <w:pStyle w:val="ListParagraph"/>
        <w:numPr>
          <w:ilvl w:val="1"/>
          <w:numId w:val="3"/>
        </w:numPr>
        <w:tabs>
          <w:tab w:val="left" w:pos="851"/>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pieteikumam ir pievienots pasākuma organizatora apstiprinājums dalībniekam dalībai pasākumā (turpmāk – apstiprinājums). </w:t>
      </w:r>
    </w:p>
    <w:p w:rsidR="001E3E02" w:rsidRDefault="001E3E02" w:rsidP="001E3E02">
      <w:pPr>
        <w:pStyle w:val="ListParagraph"/>
        <w:tabs>
          <w:tab w:val="left" w:pos="851"/>
          <w:tab w:val="left" w:pos="1134"/>
        </w:tabs>
        <w:spacing w:after="0" w:line="240" w:lineRule="auto"/>
        <w:ind w:left="0" w:firstLine="709"/>
        <w:jc w:val="both"/>
        <w:rPr>
          <w:rFonts w:ascii="Times New Roman" w:eastAsia="Calibri" w:hAnsi="Times New Roman" w:cs="Times New Roman"/>
          <w:sz w:val="24"/>
          <w:szCs w:val="24"/>
        </w:rPr>
      </w:pPr>
    </w:p>
    <w:p w:rsidR="001E3E02" w:rsidRDefault="001E3E02" w:rsidP="001E3E02">
      <w:pPr>
        <w:pStyle w:val="ListParagraph"/>
        <w:numPr>
          <w:ilvl w:val="0"/>
          <w:numId w:val="1"/>
        </w:numPr>
        <w:tabs>
          <w:tab w:val="left" w:pos="851"/>
          <w:tab w:val="left" w:pos="1134"/>
        </w:tabs>
        <w:spacing w:after="0" w:line="240" w:lineRule="auto"/>
        <w:ind w:left="0" w:firstLine="709"/>
        <w:jc w:val="both"/>
        <w:rPr>
          <w:rFonts w:ascii="Times New Roman" w:hAnsi="Times New Roman" w:cs="Times New Roman"/>
          <w:bCs/>
          <w:sz w:val="24"/>
          <w:szCs w:val="24"/>
        </w:rPr>
      </w:pPr>
      <w:r>
        <w:rPr>
          <w:rFonts w:ascii="Times New Roman" w:eastAsia="Calibri" w:hAnsi="Times New Roman" w:cs="Times New Roman"/>
          <w:sz w:val="24"/>
          <w:szCs w:val="24"/>
        </w:rPr>
        <w:t xml:space="preserve">Aizpildītu, parakstītu un ieskenētu pieteikumu dalībnieks līdz 2020.gada </w:t>
      </w:r>
      <w:r>
        <w:rPr>
          <w:rFonts w:ascii="Times New Roman" w:eastAsia="Calibri" w:hAnsi="Times New Roman" w:cs="Times New Roman"/>
          <w:color w:val="000000" w:themeColor="text1"/>
          <w:sz w:val="24"/>
          <w:szCs w:val="24"/>
        </w:rPr>
        <w:t xml:space="preserve">29.janvāra </w:t>
      </w:r>
      <w:r>
        <w:rPr>
          <w:rFonts w:ascii="Times New Roman" w:eastAsia="Calibri" w:hAnsi="Times New Roman" w:cs="Times New Roman"/>
          <w:sz w:val="24"/>
          <w:szCs w:val="24"/>
        </w:rPr>
        <w:t xml:space="preserve">plkst.17.00 </w:t>
      </w:r>
      <w:proofErr w:type="spellStart"/>
      <w:r>
        <w:rPr>
          <w:rFonts w:ascii="Times New Roman" w:eastAsia="Calibri" w:hAnsi="Times New Roman" w:cs="Times New Roman"/>
          <w:sz w:val="24"/>
          <w:szCs w:val="24"/>
        </w:rPr>
        <w:t>iesūta</w:t>
      </w:r>
      <w:proofErr w:type="spellEnd"/>
      <w:r>
        <w:rPr>
          <w:rFonts w:ascii="Times New Roman" w:eastAsia="Calibri" w:hAnsi="Times New Roman" w:cs="Times New Roman"/>
          <w:sz w:val="24"/>
          <w:szCs w:val="24"/>
        </w:rPr>
        <w:t xml:space="preserve"> ar elektronisko pastu uz aģentūras elektroniskā pasta adresi </w:t>
      </w:r>
      <w:hyperlink r:id="rId5" w:history="1">
        <w:r>
          <w:rPr>
            <w:rStyle w:val="Hyperlink"/>
            <w:rFonts w:ascii="Times New Roman" w:eastAsia="Calibri" w:hAnsi="Times New Roman" w:cs="Times New Roman"/>
            <w:sz w:val="24"/>
            <w:szCs w:val="24"/>
          </w:rPr>
          <w:t>info@viaa.gov.lv</w:t>
        </w:r>
      </w:hyperlink>
      <w:r>
        <w:rPr>
          <w:rFonts w:ascii="Times New Roman" w:eastAsia="Calibri" w:hAnsi="Times New Roman" w:cs="Times New Roman"/>
          <w:sz w:val="24"/>
          <w:szCs w:val="24"/>
        </w:rPr>
        <w:t xml:space="preserve">, vienlaikus klāt pievienojot apstiprinājumu. Pieteikumu var iesniegt arī </w:t>
      </w:r>
      <w:r>
        <w:rPr>
          <w:rFonts w:ascii="Times New Roman" w:hAnsi="Times New Roman" w:cs="Times New Roman"/>
          <w:sz w:val="24"/>
          <w:szCs w:val="24"/>
        </w:rPr>
        <w:t xml:space="preserve">ar drošu elektronisko parakstu. Pieteikumus, kuri iesūtīti pēc 2020.gada 29.janvāra plkst.17.00 aģentūra neizskata. </w:t>
      </w:r>
    </w:p>
    <w:p w:rsidR="001E3E02" w:rsidRDefault="001E3E02" w:rsidP="001E3E02">
      <w:pPr>
        <w:pStyle w:val="ListParagraph"/>
        <w:tabs>
          <w:tab w:val="left" w:pos="851"/>
          <w:tab w:val="left" w:pos="1134"/>
        </w:tabs>
        <w:spacing w:after="0" w:line="240" w:lineRule="auto"/>
        <w:ind w:left="0" w:firstLine="709"/>
        <w:jc w:val="both"/>
        <w:rPr>
          <w:rFonts w:ascii="Times New Roman" w:hAnsi="Times New Roman" w:cs="Times New Roman"/>
          <w:bCs/>
          <w:sz w:val="24"/>
          <w:szCs w:val="24"/>
        </w:rPr>
      </w:pPr>
    </w:p>
    <w:p w:rsidR="001E3E02" w:rsidRDefault="001E3E02" w:rsidP="001E3E02">
      <w:pPr>
        <w:pStyle w:val="ListParagraph"/>
        <w:numPr>
          <w:ilvl w:val="0"/>
          <w:numId w:val="1"/>
        </w:numPr>
        <w:tabs>
          <w:tab w:val="left" w:pos="851"/>
          <w:tab w:val="left" w:pos="1134"/>
        </w:tabs>
        <w:spacing w:after="0" w:line="240" w:lineRule="auto"/>
        <w:ind w:left="0" w:firstLine="709"/>
        <w:jc w:val="both"/>
        <w:rPr>
          <w:rFonts w:ascii="Times New Roman" w:hAnsi="Times New Roman" w:cs="Times New Roman"/>
          <w:bCs/>
          <w:sz w:val="24"/>
          <w:szCs w:val="24"/>
        </w:rPr>
      </w:pPr>
      <w:r>
        <w:rPr>
          <w:rFonts w:ascii="Times New Roman" w:eastAsia="Calibri" w:hAnsi="Times New Roman" w:cs="Times New Roman"/>
          <w:sz w:val="24"/>
          <w:szCs w:val="24"/>
        </w:rPr>
        <w:t xml:space="preserve">Atlasi nodrošina aģentūras Zinātnes, pētniecības un inovāciju politikas atbalsta departaments un, pamatojoties uz aģentūras direktora rīkojumu un aģentūras iekšējiem normatīvajiem aktiem  Eiropas Ekonomikas zonas un Norvēģijas finanšu instrumenta 2014.-2021.gada plānošanas perioda administrēšanā iesaistītie darbinieki un ierēdņi (turpmāk – atbildīgais darbinieks). </w:t>
      </w:r>
    </w:p>
    <w:p w:rsidR="001E3E02" w:rsidRDefault="001E3E02" w:rsidP="001E3E02">
      <w:pPr>
        <w:tabs>
          <w:tab w:val="left" w:pos="851"/>
          <w:tab w:val="left" w:pos="1134"/>
        </w:tabs>
        <w:spacing w:after="0" w:line="240" w:lineRule="auto"/>
        <w:jc w:val="both"/>
        <w:rPr>
          <w:rFonts w:ascii="Times New Roman" w:hAnsi="Times New Roman" w:cs="Times New Roman"/>
          <w:bCs/>
          <w:sz w:val="24"/>
          <w:szCs w:val="24"/>
        </w:rPr>
      </w:pPr>
    </w:p>
    <w:p w:rsidR="001E3E02" w:rsidRDefault="001E3E02" w:rsidP="001E3E02">
      <w:pPr>
        <w:pStyle w:val="ListParagraph"/>
        <w:numPr>
          <w:ilvl w:val="0"/>
          <w:numId w:val="1"/>
        </w:numPr>
        <w:tabs>
          <w:tab w:val="left" w:pos="851"/>
          <w:tab w:val="left" w:pos="1134"/>
        </w:tabs>
        <w:spacing w:after="0" w:line="240" w:lineRule="auto"/>
        <w:ind w:left="0" w:firstLine="709"/>
        <w:jc w:val="both"/>
        <w:rPr>
          <w:rFonts w:ascii="Times New Roman" w:hAnsi="Times New Roman" w:cs="Times New Roman"/>
          <w:bCs/>
          <w:sz w:val="24"/>
          <w:szCs w:val="24"/>
        </w:rPr>
      </w:pPr>
      <w:r>
        <w:rPr>
          <w:rFonts w:ascii="Times New Roman" w:eastAsia="Calibri" w:hAnsi="Times New Roman" w:cs="Times New Roman"/>
          <w:sz w:val="24"/>
          <w:szCs w:val="24"/>
        </w:rPr>
        <w:t>Atbildīgais darbinieks pārbauda, vai:</w:t>
      </w:r>
    </w:p>
    <w:p w:rsidR="001E3E02" w:rsidRDefault="001E3E02" w:rsidP="001E3E02">
      <w:pPr>
        <w:pStyle w:val="ListParagraph"/>
        <w:numPr>
          <w:ilvl w:val="1"/>
          <w:numId w:val="4"/>
        </w:numPr>
        <w:tabs>
          <w:tab w:val="left" w:pos="851"/>
          <w:tab w:val="left" w:pos="1134"/>
        </w:tabs>
        <w:spacing w:after="0" w:line="240" w:lineRule="auto"/>
        <w:ind w:left="0" w:firstLine="709"/>
        <w:jc w:val="both"/>
        <w:rPr>
          <w:rFonts w:ascii="Times New Roman" w:hAnsi="Times New Roman" w:cs="Times New Roman"/>
          <w:bCs/>
          <w:sz w:val="24"/>
          <w:szCs w:val="24"/>
        </w:rPr>
      </w:pPr>
      <w:r>
        <w:rPr>
          <w:rFonts w:ascii="Times New Roman" w:eastAsia="Calibri" w:hAnsi="Times New Roman" w:cs="Times New Roman"/>
          <w:sz w:val="24"/>
          <w:szCs w:val="24"/>
        </w:rPr>
        <w:t>pieteikumā norādītā zinātniskā institūcija ir reģistrēta Latvijas zinātnisko institūciju reģistrā;</w:t>
      </w:r>
    </w:p>
    <w:p w:rsidR="001E3E02" w:rsidRDefault="001E3E02" w:rsidP="001E3E02">
      <w:pPr>
        <w:pStyle w:val="ListParagraph"/>
        <w:numPr>
          <w:ilvl w:val="1"/>
          <w:numId w:val="4"/>
        </w:numPr>
        <w:tabs>
          <w:tab w:val="left" w:pos="851"/>
          <w:tab w:val="left" w:pos="1134"/>
        </w:tabs>
        <w:spacing w:after="0" w:line="240" w:lineRule="auto"/>
        <w:ind w:left="0" w:firstLine="709"/>
        <w:jc w:val="both"/>
        <w:rPr>
          <w:rFonts w:ascii="Times New Roman" w:hAnsi="Times New Roman" w:cs="Times New Roman"/>
          <w:bCs/>
          <w:sz w:val="24"/>
          <w:szCs w:val="24"/>
        </w:rPr>
      </w:pPr>
      <w:r>
        <w:rPr>
          <w:rFonts w:ascii="Times New Roman" w:eastAsia="Calibri" w:hAnsi="Times New Roman" w:cs="Times New Roman"/>
          <w:sz w:val="24"/>
          <w:szCs w:val="24"/>
        </w:rPr>
        <w:t>pieteikums ir attiecīgi aizpildīts;</w:t>
      </w:r>
    </w:p>
    <w:p w:rsidR="001E3E02" w:rsidRDefault="001E3E02" w:rsidP="001E3E02">
      <w:pPr>
        <w:pStyle w:val="ListParagraph"/>
        <w:numPr>
          <w:ilvl w:val="1"/>
          <w:numId w:val="4"/>
        </w:numPr>
        <w:tabs>
          <w:tab w:val="left" w:pos="851"/>
          <w:tab w:val="left" w:pos="1134"/>
        </w:tabs>
        <w:spacing w:after="0" w:line="240" w:lineRule="auto"/>
        <w:ind w:left="0" w:firstLine="709"/>
        <w:jc w:val="both"/>
        <w:rPr>
          <w:rFonts w:ascii="Times New Roman" w:hAnsi="Times New Roman" w:cs="Times New Roman"/>
          <w:bCs/>
          <w:sz w:val="24"/>
          <w:szCs w:val="24"/>
        </w:rPr>
      </w:pPr>
      <w:r>
        <w:rPr>
          <w:rFonts w:ascii="Times New Roman" w:eastAsia="Calibri" w:hAnsi="Times New Roman" w:cs="Times New Roman"/>
          <w:sz w:val="24"/>
          <w:szCs w:val="24"/>
        </w:rPr>
        <w:t xml:space="preserve">pieteikumu ir saskaņojusi  zinātniskās institūcijas </w:t>
      </w:r>
      <w:proofErr w:type="spellStart"/>
      <w:r>
        <w:rPr>
          <w:rFonts w:ascii="Times New Roman" w:eastAsia="Calibri" w:hAnsi="Times New Roman" w:cs="Times New Roman"/>
          <w:sz w:val="24"/>
          <w:szCs w:val="24"/>
        </w:rPr>
        <w:t>paraksttiesīga</w:t>
      </w:r>
      <w:proofErr w:type="spellEnd"/>
      <w:r>
        <w:rPr>
          <w:rFonts w:ascii="Times New Roman" w:eastAsia="Calibri" w:hAnsi="Times New Roman" w:cs="Times New Roman"/>
          <w:sz w:val="24"/>
          <w:szCs w:val="24"/>
        </w:rPr>
        <w:t xml:space="preserve"> persona;</w:t>
      </w:r>
    </w:p>
    <w:p w:rsidR="001E3E02" w:rsidRDefault="001E3E02" w:rsidP="001E3E02">
      <w:pPr>
        <w:pStyle w:val="ListParagraph"/>
        <w:numPr>
          <w:ilvl w:val="1"/>
          <w:numId w:val="4"/>
        </w:numPr>
        <w:tabs>
          <w:tab w:val="left" w:pos="851"/>
          <w:tab w:val="left" w:pos="1134"/>
        </w:tabs>
        <w:spacing w:after="0" w:line="240" w:lineRule="auto"/>
        <w:ind w:left="0" w:firstLine="709"/>
        <w:jc w:val="both"/>
        <w:rPr>
          <w:rFonts w:ascii="Times New Roman" w:hAnsi="Times New Roman" w:cs="Times New Roman"/>
          <w:bCs/>
          <w:sz w:val="24"/>
          <w:szCs w:val="24"/>
        </w:rPr>
      </w:pPr>
      <w:r>
        <w:rPr>
          <w:rFonts w:ascii="Times New Roman" w:eastAsia="Calibri" w:hAnsi="Times New Roman" w:cs="Times New Roman"/>
          <w:sz w:val="24"/>
          <w:szCs w:val="24"/>
        </w:rPr>
        <w:t>pieteikumam ir pievienots apstiprinājums. Gadījumā, ja apstiprinājums nav pievienots, aģentūra par tā esamību pārliecinās pasākuma organizatora tīmekļvietnē.</w:t>
      </w:r>
    </w:p>
    <w:p w:rsidR="001E3E02" w:rsidRDefault="001E3E02" w:rsidP="001E3E02">
      <w:pPr>
        <w:pStyle w:val="ListParagraph"/>
        <w:tabs>
          <w:tab w:val="left" w:pos="851"/>
          <w:tab w:val="left" w:pos="1134"/>
        </w:tabs>
        <w:spacing w:line="240" w:lineRule="auto"/>
        <w:ind w:left="0" w:firstLine="709"/>
        <w:jc w:val="both"/>
        <w:rPr>
          <w:rFonts w:ascii="Times New Roman" w:hAnsi="Times New Roman" w:cs="Times New Roman"/>
          <w:bCs/>
          <w:sz w:val="24"/>
          <w:szCs w:val="24"/>
        </w:rPr>
      </w:pPr>
    </w:p>
    <w:p w:rsidR="001E3E02" w:rsidRDefault="001E3E02" w:rsidP="001E3E02">
      <w:pPr>
        <w:pStyle w:val="ListParagraph"/>
        <w:numPr>
          <w:ilvl w:val="0"/>
          <w:numId w:val="1"/>
        </w:numPr>
        <w:tabs>
          <w:tab w:val="left" w:pos="851"/>
          <w:tab w:val="left" w:pos="1134"/>
        </w:tabs>
        <w:spacing w:line="240" w:lineRule="auto"/>
        <w:ind w:left="0" w:firstLine="709"/>
        <w:jc w:val="both"/>
        <w:rPr>
          <w:rFonts w:ascii="Times New Roman" w:hAnsi="Times New Roman" w:cs="Times New Roman"/>
          <w:bCs/>
          <w:sz w:val="24"/>
          <w:szCs w:val="24"/>
        </w:rPr>
      </w:pPr>
      <w:r>
        <w:rPr>
          <w:rFonts w:ascii="Times New Roman" w:eastAsia="Calibri" w:hAnsi="Times New Roman" w:cs="Times New Roman"/>
          <w:sz w:val="24"/>
          <w:szCs w:val="24"/>
        </w:rPr>
        <w:t xml:space="preserve">Ja pieteikums nav aizpildīts atbilstoši pieteikuma veidlapai (pielikums), to neizskata, un atbildīgais darbinieks uz pieteikuma iesniedzēja elektroniskā pasta adresi </w:t>
      </w:r>
      <w:proofErr w:type="spellStart"/>
      <w:r>
        <w:rPr>
          <w:rFonts w:ascii="Times New Roman" w:eastAsia="Calibri" w:hAnsi="Times New Roman" w:cs="Times New Roman"/>
          <w:sz w:val="24"/>
          <w:szCs w:val="24"/>
        </w:rPr>
        <w:t>nosūta</w:t>
      </w:r>
      <w:proofErr w:type="spellEnd"/>
      <w:r>
        <w:rPr>
          <w:rFonts w:ascii="Times New Roman" w:eastAsia="Calibri" w:hAnsi="Times New Roman" w:cs="Times New Roman"/>
          <w:sz w:val="24"/>
          <w:szCs w:val="24"/>
        </w:rPr>
        <w:t xml:space="preserve"> atteikumu kompensēt izdevumus par dalību pasākumā.</w:t>
      </w:r>
    </w:p>
    <w:p w:rsidR="001E3E02" w:rsidRDefault="001E3E02" w:rsidP="001E3E02">
      <w:pPr>
        <w:pStyle w:val="ListParagraph"/>
        <w:tabs>
          <w:tab w:val="left" w:pos="851"/>
          <w:tab w:val="left" w:pos="1134"/>
        </w:tabs>
        <w:spacing w:line="240" w:lineRule="auto"/>
        <w:ind w:left="709"/>
        <w:jc w:val="both"/>
        <w:rPr>
          <w:rFonts w:ascii="Times New Roman" w:hAnsi="Times New Roman" w:cs="Times New Roman"/>
          <w:bCs/>
          <w:sz w:val="24"/>
          <w:szCs w:val="24"/>
        </w:rPr>
      </w:pPr>
    </w:p>
    <w:p w:rsidR="001E3E02" w:rsidRDefault="001E3E02" w:rsidP="001E3E02">
      <w:pPr>
        <w:pStyle w:val="ListParagraph"/>
        <w:numPr>
          <w:ilvl w:val="0"/>
          <w:numId w:val="1"/>
        </w:numPr>
        <w:tabs>
          <w:tab w:val="left" w:pos="851"/>
          <w:tab w:val="left" w:pos="1134"/>
        </w:tabs>
        <w:spacing w:line="240" w:lineRule="auto"/>
        <w:ind w:left="0" w:firstLine="709"/>
        <w:jc w:val="both"/>
        <w:rPr>
          <w:rFonts w:ascii="Times New Roman" w:hAnsi="Times New Roman" w:cs="Times New Roman"/>
          <w:bCs/>
          <w:sz w:val="24"/>
          <w:szCs w:val="24"/>
        </w:rPr>
      </w:pPr>
      <w:r>
        <w:rPr>
          <w:rFonts w:ascii="Times New Roman" w:eastAsia="Calibri" w:hAnsi="Times New Roman" w:cs="Times New Roman"/>
          <w:sz w:val="24"/>
          <w:szCs w:val="24"/>
        </w:rPr>
        <w:t xml:space="preserve">Dalībnieks 10 dienu laikā no pasākuma noslēguma dienas iesniedz aģentūrā izdevumus attaisnojošus dokumentus par dalību pasākumā (piemēram, autobusa biļetes, viesnīcas rēķinus, maksājuma uzdevumus, kontu izrakstus). Pamatojoties uz līgumu un iesniegtajiem izdevumus attaisnojošiem dokumentiem, aģentūra veic kompensācijas atmaksu līgumā noteiktajā termiņā uz līgumā norādīto dalībnieka norēķinu kontu. </w:t>
      </w:r>
    </w:p>
    <w:p w:rsidR="001E3E02" w:rsidRDefault="001E3E02" w:rsidP="001E3E02">
      <w:pPr>
        <w:pStyle w:val="ListParagraph"/>
        <w:tabs>
          <w:tab w:val="left" w:pos="851"/>
          <w:tab w:val="left" w:pos="1134"/>
        </w:tabs>
        <w:spacing w:line="240" w:lineRule="auto"/>
        <w:ind w:left="0" w:firstLine="709"/>
        <w:jc w:val="both"/>
        <w:rPr>
          <w:rFonts w:ascii="Times New Roman" w:hAnsi="Times New Roman" w:cs="Times New Roman"/>
          <w:bCs/>
          <w:sz w:val="24"/>
          <w:szCs w:val="24"/>
        </w:rPr>
      </w:pPr>
    </w:p>
    <w:p w:rsidR="00344EF5" w:rsidRDefault="00344EF5" w:rsidP="00344EF5">
      <w:pPr>
        <w:spacing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Saskaņots ar Izglītības un zinātnes ministrijas 2020.gada 20.janvāra vēstuli Nr.4-21.3e/20/200</w:t>
      </w:r>
    </w:p>
    <w:sectPr w:rsidR="00344E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84C60"/>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175EC6"/>
    <w:multiLevelType w:val="multilevel"/>
    <w:tmpl w:val="2CDC6D4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20A2BC1"/>
    <w:multiLevelType w:val="multilevel"/>
    <w:tmpl w:val="81CAB326"/>
    <w:lvl w:ilvl="0">
      <w:start w:val="7"/>
      <w:numFmt w:val="decimal"/>
      <w:lvlText w:val="%1"/>
      <w:lvlJc w:val="left"/>
      <w:pPr>
        <w:ind w:left="360" w:hanging="360"/>
      </w:pPr>
      <w:rPr>
        <w:rFonts w:eastAsia="Calibri"/>
      </w:rPr>
    </w:lvl>
    <w:lvl w:ilvl="1">
      <w:start w:val="1"/>
      <w:numFmt w:val="decimal"/>
      <w:lvlText w:val="%1.%2"/>
      <w:lvlJc w:val="left"/>
      <w:pPr>
        <w:ind w:left="1152" w:hanging="360"/>
      </w:pPr>
      <w:rPr>
        <w:rFonts w:eastAsia="Calibri"/>
      </w:rPr>
    </w:lvl>
    <w:lvl w:ilvl="2">
      <w:start w:val="1"/>
      <w:numFmt w:val="decimal"/>
      <w:lvlText w:val="%1.%2.%3"/>
      <w:lvlJc w:val="left"/>
      <w:pPr>
        <w:ind w:left="2304" w:hanging="720"/>
      </w:pPr>
      <w:rPr>
        <w:rFonts w:eastAsia="Calibri"/>
      </w:rPr>
    </w:lvl>
    <w:lvl w:ilvl="3">
      <w:start w:val="1"/>
      <w:numFmt w:val="decimal"/>
      <w:lvlText w:val="%1.%2.%3.%4"/>
      <w:lvlJc w:val="left"/>
      <w:pPr>
        <w:ind w:left="3096" w:hanging="720"/>
      </w:pPr>
      <w:rPr>
        <w:rFonts w:eastAsia="Calibri"/>
      </w:rPr>
    </w:lvl>
    <w:lvl w:ilvl="4">
      <w:start w:val="1"/>
      <w:numFmt w:val="decimal"/>
      <w:lvlText w:val="%1.%2.%3.%4.%5"/>
      <w:lvlJc w:val="left"/>
      <w:pPr>
        <w:ind w:left="4248" w:hanging="1080"/>
      </w:pPr>
      <w:rPr>
        <w:rFonts w:eastAsia="Calibri"/>
      </w:rPr>
    </w:lvl>
    <w:lvl w:ilvl="5">
      <w:start w:val="1"/>
      <w:numFmt w:val="decimal"/>
      <w:lvlText w:val="%1.%2.%3.%4.%5.%6"/>
      <w:lvlJc w:val="left"/>
      <w:pPr>
        <w:ind w:left="5040" w:hanging="1080"/>
      </w:pPr>
      <w:rPr>
        <w:rFonts w:eastAsia="Calibri"/>
      </w:rPr>
    </w:lvl>
    <w:lvl w:ilvl="6">
      <w:start w:val="1"/>
      <w:numFmt w:val="decimal"/>
      <w:lvlText w:val="%1.%2.%3.%4.%5.%6.%7"/>
      <w:lvlJc w:val="left"/>
      <w:pPr>
        <w:ind w:left="6192" w:hanging="1440"/>
      </w:pPr>
      <w:rPr>
        <w:rFonts w:eastAsia="Calibri"/>
      </w:rPr>
    </w:lvl>
    <w:lvl w:ilvl="7">
      <w:start w:val="1"/>
      <w:numFmt w:val="decimal"/>
      <w:lvlText w:val="%1.%2.%3.%4.%5.%6.%7.%8"/>
      <w:lvlJc w:val="left"/>
      <w:pPr>
        <w:ind w:left="6984" w:hanging="1440"/>
      </w:pPr>
      <w:rPr>
        <w:rFonts w:eastAsia="Calibri"/>
      </w:rPr>
    </w:lvl>
    <w:lvl w:ilvl="8">
      <w:start w:val="1"/>
      <w:numFmt w:val="decimal"/>
      <w:lvlText w:val="%1.%2.%3.%4.%5.%6.%7.%8.%9"/>
      <w:lvlJc w:val="left"/>
      <w:pPr>
        <w:ind w:left="8136" w:hanging="1800"/>
      </w:pPr>
      <w:rPr>
        <w:rFonts w:eastAsia="Calibri"/>
      </w:rPr>
    </w:lvl>
  </w:abstractNum>
  <w:abstractNum w:abstractNumId="3" w15:restartNumberingAfterBreak="0">
    <w:nsid w:val="5A59515D"/>
    <w:multiLevelType w:val="multilevel"/>
    <w:tmpl w:val="3CBC8990"/>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02"/>
    <w:rsid w:val="001E3E02"/>
    <w:rsid w:val="00344EF5"/>
    <w:rsid w:val="00512C4E"/>
    <w:rsid w:val="00C046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303FA-FE5D-4BF3-B886-CDA458E6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0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3E02"/>
    <w:rPr>
      <w:color w:val="0000FF"/>
      <w:u w:val="single"/>
    </w:rPr>
  </w:style>
  <w:style w:type="paragraph" w:styleId="CommentText">
    <w:name w:val="annotation text"/>
    <w:basedOn w:val="Normal"/>
    <w:link w:val="CommentTextChar"/>
    <w:uiPriority w:val="99"/>
    <w:semiHidden/>
    <w:unhideWhenUsed/>
    <w:rsid w:val="001E3E02"/>
    <w:pPr>
      <w:spacing w:line="240" w:lineRule="auto"/>
    </w:pPr>
    <w:rPr>
      <w:sz w:val="20"/>
      <w:szCs w:val="20"/>
    </w:rPr>
  </w:style>
  <w:style w:type="character" w:customStyle="1" w:styleId="CommentTextChar">
    <w:name w:val="Comment Text Char"/>
    <w:basedOn w:val="DefaultParagraphFont"/>
    <w:link w:val="CommentText"/>
    <w:uiPriority w:val="99"/>
    <w:semiHidden/>
    <w:rsid w:val="001E3E02"/>
    <w:rPr>
      <w:sz w:val="20"/>
      <w:szCs w:val="20"/>
    </w:rPr>
  </w:style>
  <w:style w:type="paragraph" w:styleId="ListParagraph">
    <w:name w:val="List Paragraph"/>
    <w:basedOn w:val="Normal"/>
    <w:uiPriority w:val="34"/>
    <w:qFormat/>
    <w:rsid w:val="001E3E02"/>
    <w:pPr>
      <w:ind w:left="720"/>
      <w:contextualSpacing/>
    </w:pPr>
  </w:style>
  <w:style w:type="table" w:styleId="TableGrid">
    <w:name w:val="Table Grid"/>
    <w:basedOn w:val="TableNormal"/>
    <w:uiPriority w:val="39"/>
    <w:rsid w:val="001E3E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E3E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ia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3200</Words>
  <Characters>1824</Characters>
  <Application>Microsoft Office Word</Application>
  <DocSecurity>0</DocSecurity>
  <Lines>15</Lines>
  <Paragraphs>10</Paragraphs>
  <ScaleCrop>false</ScaleCrop>
  <Company>VIAA</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Andris Šķesters</cp:lastModifiedBy>
  <cp:revision>3</cp:revision>
  <dcterms:created xsi:type="dcterms:W3CDTF">2020-01-20T08:20:00Z</dcterms:created>
  <dcterms:modified xsi:type="dcterms:W3CDTF">2020-01-20T08:54:00Z</dcterms:modified>
</cp:coreProperties>
</file>